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436</w:t>
      </w:r>
    </w:p>
    <w:p>
      <w:r>
        <w:t>Bundesgericht (BGE), 1996-08-13, DE</w:t>
      </w:r>
    </w:p>
    <w:p>
      <w:r>
        <w:rPr>
          <w:b/>
        </w:rPr>
        <w:t xml:space="preserve">Quelle: </w:t>
      </w:r>
      <w:r>
        <w:t>https://mcp.opencaselaw.ch/entscheid/bge_122 III 436</w:t>
      </w:r>
    </w:p>
    <w:p>
      <w:r>
        <w:t>FR: ATF 122 III 436</w:t>
      </w:r>
    </w:p>
    <w:p>
      <w:r>
        <w:t>IT: DTF 122 III 436</w:t>
      </w:r>
    </w:p>
    <w:p>
      <w:pPr>
        <w:pStyle w:val="Heading2"/>
      </w:pPr>
      <w:r>
        <w:t>Regeste</w:t>
      </w:r>
    </w:p>
    <w:p>
      <w:r>
        <w:t>Regeste Art. 242 SchKG; Fristansetzung zur Anhebung der Aussonderungsklage. Nur wenn sich die von einem Dritten angesprochene Sache im ausschliesslichen Gewahrsam der Konkursmasse befindet, ist die Konkursverwaltung berechtigt, dem Drittansprecher nach Art. 242 Abs. 2 SchKG eine Frist von zehn Tagen zur Anhebung der Aussonderungsklage anzusetzen (E. 2a). Hat die Konkursverwaltung die von einem Dritten angesprochenen Vermögenswerte im Verlauf des Konkursverfahrens veräussert und dadurch den Gewahrsam an der Sache verloren, gelangt als Surrogat der veräusserten Gegenstände der Erlös - als für den Drittansprecher auszuscheidender Vermögenswert - in den Gewahrsam der Konkursmasse (E. 2c).</w:t>
      </w:r>
    </w:p>
    <w:p>
      <w:pPr>
        <w:pStyle w:val="Heading2"/>
      </w:pPr>
      <w:r>
        <w:t>Erwägungen</w:t>
      </w:r>
    </w:p>
    <w:p>
      <w:r>
        <w:rPr>
          <w:b/>
        </w:rPr>
        <w:t>E. 2</w:t>
      </w:r>
    </w:p>
    <w:p>
      <w:r>
        <w:t>a) Nach Art. 242 Abs. 1 SchKG verfügt die Konkursverwaltung über die Herausgabe von Sachen, welche von einem Dritten als Eigentum angesprochen werden; hält sie den Anspruch für unbegründet, so setzt sie dem Dritten nach Art. 242 Abs. 2 SchKG eine Frist von zehn Tagen zur Anhebung der Klage an. Um über die Herausgabe beweglicher Sachen zu verfügen und Dritten, deren Eigentumsansprache für unbegründet gehalten wird, Frist anzusetzen, muss sich die betreffende Sache im ausschliesslichen Gewahrsam der Masse befinden ( BGE 93 III 96 E. 3 S. 102 f.). Andernfalls obliegt es der Masse oder gegebenenfalls den Abtretungsgläubigern nach Art. 260 SchKG , gegen den Dritten, der Gewahrsam an den Vermögenswerten hat, auf Herausgabe der Sache zu klagen ( BGE 110 III 87 E. 2a S. 90 mit Hinweis). Für die Bestimmung des Gewahrsams kommt es im Konkursverfahren auf den Zeitpunkt der Konkurseröffnung an, in welchem Zeitpunkt der Gemeinschuldner die Verfügungsgewalt über sein Vermögen verliert ( Art. 197 SchKG ); damit verhält es sich im Konkurs analog zum Widerspruchsverfahren nach Art. 106 bis 109 SchKG, wo auf den Zeitpunkt abgestellt wird, in dem der Betriebene seine tatsächliche Verfügungsgewalt durch Pfändung ( Art. 96 SchKG ) oder Arrestierung ( Art. 275 SchKG ) verliert (vgl. BGE 110 III 87 E. 2c S. 92 f. mit Hinweisen). b) Die Rekurrentin hält dafür, dass der vorliegende Sachverhalt nicht unter diese Rechtsprechung falle; vielmehr sei für die Frage, ob eine Frist nach Art. 242 Abs. 2 SchKG anzusetzen sei und sie demnach Aussonderungsklage erheben müsse, BGE 24 I 719 ff. massgebend. In diesem Urteil hat das Bundesgericht entschieden, dass für die Frage der Parteirollenverteilung der Zeitpunkt, in dem der Streit angehoben werde, und nicht jener der Konkurseröffnung oder der Inventaraufnahme massgebend sei; in diesem Fall hatte die Masse zwar mit der Konkurseröffnung den Gewahrsam über die Sache erlangt, sich dieser aber danach begeben, weshalb die dem Gläubiger gegenüber verfügte Fristansetzung nach Art. 242 Abs. 2 SchKG aufgehoben wurde (E. 2 S. 723 f.). Damit wurde dem Umstand Rechnung getragen, dass sich die faktischen Verhältnisse zwischen Konkurseröffnung und Einleitung des Aussonderungsprozesses verändert hatten. c) Die Frage, ob BGE 110 III 97 ff. einer eigentlichen Praxisänderung gleichkomme und insoweit der dem BGE 24 I 273 ff. zugrundeliegende BGE 122 III 436 S. 438 Sachverhalt heute anders beurteilt werden müsste - wie dies die Vorinstanz geltend macht und von der Rekurrentin bestritten wird -, kann im vorliegenden Fall indessen offenbleiben. Einerseits ist unbestritten, dass die Masse mit der Konkurseröffnung den Gewahrsam an den Patenten erlangt hatte. Anderseits unterscheidet sich der hier zu beurteilende Sachverhalt in einem wesentlichen Punkt von dem von den Parteien angerufenen Entscheid. Während in dem vom Bundesgericht in BGE 24 I 723 ff. entschiedenen Fall die Konkursverwaltung die umstrittenen Sachen dem Eigentumsansprecher zur freien Verfügung herausgegeben und dieser dadurch die faktische Verfügungsgewalt darüber erlangt hatte, verkaufte die Konkursverwaltung die Sachen im vorliegenden Fall an eine Drittperson. Hat aber die Konkursverwaltung Gegenstände in ihrem Vermögen einem Dritten veräussert, wird die Forderung auf den an Stelle der Sache getretenen Erlös nicht zu einer einfachen Massaforderung, die erst nach Deckung der Kosten Anspruch auf Befriedigung hätte; vielmehr ist die eingezogene - eventuell das Recht auf die noch ausstehende - Gegenleistung vor der Befriedigung der Massagläubiger aus der Konkursmasse auszuscheiden (JAEGER, Schuldbetreibung und Konkurs, Band II, Zürich 1911, N. 3.A. zu Art. 242 a.E.; GILLIÉRON, Poursuite pour dettes, faillite et concordat, 3. Auflage, Lausanne 1993, S. 332, § 2 III). Als Surrogat der vom Dritten angesprochenen, zwischenzeitlich aber veräusserten Gegenstände fällt die entsprechende Gegenleistung des Dritterwerbers als für den Ansprecher auszuscheidende Vermögenswerte in die Konkursmasse, so dass sich diese Gegenleistung im Gewahrsam der Konkursverwaltung befindet. Der Rekurrentin ist zwar beizupflichten, dass die Konkursverwaltung den Gewahrsam nach der Konkurseröffnung freiwillig aufgegeben hat, doch übersieht sie, dass der Konkursverwaltung im Gegenzug der Gewahrsam an der Gegenleistung zugefallen ist. Aus diesem Grund ist auf jeden Fall das Verfahren nach Art. 242 SchKG durchzuführen; es trifft somit nicht zu, dass die Fristansetzung nach Art. 242 Abs. 2 SchKG zur Anhebung der Aussonderungsklage keinen Sinn mehr mache, da sich der Aussonderungsanspruch nunmehr gegen die eingezogene bzw. noch ausstehende Gegenleistung richtet. Es ist daher in verfahrensrechtlicher Hinsicht nicht zu beanstanden, dass die Konkursverwaltung eine Verfügung über den Anspruch getroffen und der Beschwerdeführerin Frist zur Klage angesetzt hat. Die Beschwerde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